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A960" w14:textId="77777777" w:rsidR="008D50F4" w:rsidRPr="008D50F4" w:rsidRDefault="008D50F4" w:rsidP="00D8627D">
      <w:pPr>
        <w:spacing w:after="0"/>
        <w:rPr>
          <w:rFonts w:ascii="Calibri" w:eastAsia="Calibri" w:hAnsi="Calibri" w:cs="Times New Roman"/>
          <w:noProof/>
        </w:rPr>
      </w:pPr>
    </w:p>
    <w:p w14:paraId="4BEA70A3" w14:textId="77777777" w:rsidR="008D50F4" w:rsidRPr="008D50F4" w:rsidRDefault="008D50F4" w:rsidP="008D50F4">
      <w:pPr>
        <w:spacing w:after="0"/>
        <w:jc w:val="center"/>
        <w:rPr>
          <w:rFonts w:ascii="Calibri" w:eastAsia="Calibri" w:hAnsi="Calibri" w:cs="Times New Roman"/>
          <w:noProof/>
        </w:rPr>
      </w:pPr>
    </w:p>
    <w:p w14:paraId="4B21BA45" w14:textId="77777777" w:rsidR="00D8627D" w:rsidRDefault="00D8627D" w:rsidP="00D8627D">
      <w:pPr>
        <w:spacing w:after="0"/>
        <w:rPr>
          <w:rFonts w:ascii="Segoe Script" w:eastAsia="Segoe Script" w:hAnsi="Segoe Script" w:cs="Segoe Script"/>
          <w:sz w:val="17"/>
        </w:rPr>
      </w:pPr>
      <w:r w:rsidRPr="004E3FF5">
        <w:rPr>
          <w:rFonts w:ascii="Calibri" w:eastAsia="Calibri" w:hAnsi="Calibri" w:cs="Calibri"/>
          <w:noProof/>
        </w:rPr>
        <w:drawing>
          <wp:inline distT="0" distB="0" distL="0" distR="0" wp14:anchorId="60AC9566" wp14:editId="57EC5C3F">
            <wp:extent cx="1747150" cy="5238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020" cy="527134"/>
                    </a:xfrm>
                    <a:prstGeom prst="rect">
                      <a:avLst/>
                    </a:prstGeom>
                    <a:noFill/>
                    <a:ln>
                      <a:noFill/>
                    </a:ln>
                  </pic:spPr>
                </pic:pic>
              </a:graphicData>
            </a:graphic>
          </wp:inline>
        </w:drawing>
      </w:r>
    </w:p>
    <w:p w14:paraId="67F3BB30" w14:textId="77777777" w:rsidR="00D8627D" w:rsidRDefault="00D8627D" w:rsidP="00D8627D">
      <w:pPr>
        <w:spacing w:after="0"/>
        <w:rPr>
          <w:rFonts w:ascii="Segoe Script" w:eastAsia="Segoe Script" w:hAnsi="Segoe Script" w:cs="Segoe Script"/>
          <w:sz w:val="17"/>
        </w:rPr>
      </w:pPr>
    </w:p>
    <w:p w14:paraId="0C60FD47" w14:textId="77777777" w:rsidR="00D8627D" w:rsidRPr="003765AB" w:rsidRDefault="00D8627D" w:rsidP="00D8627D">
      <w:pPr>
        <w:spacing w:after="0"/>
        <w:jc w:val="center"/>
        <w:rPr>
          <w:rFonts w:ascii="Calibri" w:eastAsia="Calibri" w:hAnsi="Calibri" w:cs="Calibri"/>
        </w:rPr>
      </w:pPr>
      <w:r w:rsidRPr="003765AB">
        <w:rPr>
          <w:rFonts w:ascii="Segoe Script" w:eastAsia="Segoe Script" w:hAnsi="Segoe Script" w:cs="Segoe Script"/>
          <w:sz w:val="17"/>
        </w:rPr>
        <w:t>…those who hope in the L</w:t>
      </w:r>
      <w:r w:rsidRPr="003765AB">
        <w:rPr>
          <w:rFonts w:ascii="Segoe Script" w:eastAsia="Segoe Script" w:hAnsi="Segoe Script" w:cs="Segoe Script"/>
          <w:sz w:val="14"/>
        </w:rPr>
        <w:t>ORD</w:t>
      </w:r>
      <w:r w:rsidRPr="003765AB">
        <w:rPr>
          <w:rFonts w:ascii="Segoe Script" w:eastAsia="Segoe Script" w:hAnsi="Segoe Script" w:cs="Segoe Script"/>
          <w:sz w:val="17"/>
        </w:rPr>
        <w:t xml:space="preserve"> will renew their strength.</w:t>
      </w:r>
    </w:p>
    <w:p w14:paraId="7FB9053E" w14:textId="48DA4AA7" w:rsidR="00D8627D" w:rsidRPr="003765AB" w:rsidRDefault="00D8627D" w:rsidP="00D8627D">
      <w:pPr>
        <w:spacing w:after="36" w:line="224" w:lineRule="auto"/>
        <w:ind w:left="1177" w:right="1093"/>
        <w:jc w:val="right"/>
        <w:rPr>
          <w:rFonts w:ascii="Calibri" w:eastAsia="Calibri" w:hAnsi="Calibri" w:cs="Calibri"/>
        </w:rPr>
      </w:pPr>
      <w:r>
        <w:rPr>
          <w:rFonts w:ascii="Segoe Script" w:eastAsia="Segoe Script" w:hAnsi="Segoe Script" w:cs="Segoe Script"/>
          <w:sz w:val="17"/>
        </w:rPr>
        <w:t xml:space="preserve">   </w:t>
      </w:r>
      <w:r w:rsidRPr="003765AB">
        <w:rPr>
          <w:rFonts w:ascii="Segoe Script" w:eastAsia="Segoe Script" w:hAnsi="Segoe Script" w:cs="Segoe Script"/>
          <w:sz w:val="17"/>
        </w:rPr>
        <w:t>They will soar on wings like eagles; they will run and not grow weary, they will walk and not be faint.’</w:t>
      </w:r>
      <w:r w:rsidRPr="003765AB">
        <w:rPr>
          <w:rFonts w:ascii="Segoe Script" w:eastAsia="Segoe Script" w:hAnsi="Segoe Script" w:cs="Segoe Script"/>
          <w:sz w:val="16"/>
        </w:rPr>
        <w:t xml:space="preserve">  Isaiah 40:31 </w:t>
      </w:r>
      <w:r w:rsidRPr="003765AB">
        <w:rPr>
          <w:rFonts w:ascii="Calibri" w:eastAsia="Calibri" w:hAnsi="Calibri" w:cs="Calibri"/>
        </w:rPr>
        <w:t xml:space="preserve"> </w:t>
      </w:r>
    </w:p>
    <w:p w14:paraId="780B1F2B" w14:textId="77777777" w:rsidR="00D8627D" w:rsidRPr="003765AB" w:rsidRDefault="00D8627D" w:rsidP="00D8627D">
      <w:pPr>
        <w:keepNext/>
        <w:keepLines/>
        <w:spacing w:after="195"/>
        <w:ind w:left="2367"/>
        <w:jc w:val="right"/>
        <w:outlineLvl w:val="0"/>
        <w:rPr>
          <w:rFonts w:ascii="Calibri" w:eastAsia="Calibri" w:hAnsi="Calibri" w:cs="Calibri"/>
          <w:b/>
          <w:color w:val="1D62AB"/>
          <w:sz w:val="18"/>
        </w:rPr>
      </w:pPr>
      <w:r w:rsidRPr="003765AB">
        <w:rPr>
          <w:rFonts w:ascii="Calibri" w:eastAsia="Calibri" w:hAnsi="Calibri" w:cs="Calibri"/>
          <w:b/>
          <w:color w:val="1D62AB"/>
          <w:sz w:val="18"/>
        </w:rPr>
        <w:t xml:space="preserve">connect | nurture | aspire | learn | excel | hope </w:t>
      </w:r>
    </w:p>
    <w:p w14:paraId="5DB7BA5E" w14:textId="77777777" w:rsidR="00D8627D" w:rsidRDefault="00D8627D" w:rsidP="00D8627D">
      <w:pPr>
        <w:jc w:val="center"/>
      </w:pPr>
    </w:p>
    <w:p w14:paraId="745BC952" w14:textId="2AA715B3" w:rsidR="00D8627D" w:rsidRDefault="00D8627D" w:rsidP="00D8627D">
      <w:pPr>
        <w:jc w:val="center"/>
      </w:pPr>
      <w:r w:rsidRPr="004E3FF5">
        <w:rPr>
          <w:rFonts w:ascii="Calibri" w:eastAsia="Calibri" w:hAnsi="Calibri" w:cs="Calibri"/>
          <w:b/>
          <w:noProof/>
        </w:rPr>
        <w:drawing>
          <wp:inline distT="0" distB="0" distL="0" distR="0" wp14:anchorId="219BAFD6" wp14:editId="6CB55B23">
            <wp:extent cx="2962275" cy="2952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2952750"/>
                    </a:xfrm>
                    <a:prstGeom prst="rect">
                      <a:avLst/>
                    </a:prstGeom>
                    <a:noFill/>
                    <a:ln>
                      <a:noFill/>
                    </a:ln>
                  </pic:spPr>
                </pic:pic>
              </a:graphicData>
            </a:graphic>
          </wp:inline>
        </w:drawing>
      </w:r>
    </w:p>
    <w:p w14:paraId="0047349F" w14:textId="77777777" w:rsidR="00D8627D" w:rsidRPr="003765AB" w:rsidRDefault="00D8627D" w:rsidP="00D8627D">
      <w:pPr>
        <w:spacing w:after="0"/>
        <w:jc w:val="center"/>
        <w:rPr>
          <w:rFonts w:ascii="Calibri" w:eastAsia="Calibri" w:hAnsi="Calibri" w:cs="Calibri"/>
        </w:rPr>
      </w:pPr>
      <w:r w:rsidRPr="004E3FF5">
        <w:rPr>
          <w:rFonts w:ascii="Calibri" w:hAnsi="Calibri" w:cs="Calibri"/>
          <w:sz w:val="44"/>
          <w:szCs w:val="44"/>
          <w:lang w:val="en-US"/>
        </w:rPr>
        <w:t>Charing Church of England Primary School</w:t>
      </w:r>
    </w:p>
    <w:p w14:paraId="46BA658B" w14:textId="77777777" w:rsidR="00D8627D" w:rsidRPr="003765AB" w:rsidRDefault="00D8627D" w:rsidP="00D8627D">
      <w:pPr>
        <w:spacing w:after="147"/>
        <w:ind w:left="58"/>
        <w:jc w:val="center"/>
        <w:rPr>
          <w:rFonts w:ascii="Calibri" w:eastAsia="Calibri" w:hAnsi="Calibri" w:cs="Calibri"/>
        </w:rPr>
      </w:pPr>
      <w:r w:rsidRPr="003765AB">
        <w:rPr>
          <w:rFonts w:ascii="Calibri" w:eastAsia="Calibri" w:hAnsi="Calibri" w:cs="Calibri"/>
          <w:b/>
        </w:rPr>
        <w:t xml:space="preserve"> </w:t>
      </w:r>
    </w:p>
    <w:p w14:paraId="77D65EA9" w14:textId="18A1F190" w:rsidR="00D8627D" w:rsidRPr="003765AB" w:rsidRDefault="00D8627D" w:rsidP="00D8627D">
      <w:pPr>
        <w:spacing w:after="0"/>
        <w:ind w:left="58"/>
        <w:jc w:val="center"/>
        <w:rPr>
          <w:rFonts w:ascii="Calibri" w:eastAsia="Calibri" w:hAnsi="Calibri" w:cs="Calibri"/>
        </w:rPr>
      </w:pPr>
      <w:r>
        <w:rPr>
          <w:rFonts w:ascii="Calibri" w:eastAsia="Calibri" w:hAnsi="Calibri" w:cs="Calibri"/>
          <w:b/>
          <w:sz w:val="36"/>
          <w:u w:val="single" w:color="000000"/>
        </w:rPr>
        <w:t>Marking and Feedback Policy</w:t>
      </w:r>
    </w:p>
    <w:tbl>
      <w:tblPr>
        <w:tblStyle w:val="TableGrid0"/>
        <w:tblW w:w="9359" w:type="dxa"/>
        <w:tblInd w:w="254" w:type="dxa"/>
        <w:tblCellMar>
          <w:top w:w="58" w:type="dxa"/>
          <w:left w:w="108" w:type="dxa"/>
          <w:right w:w="115" w:type="dxa"/>
        </w:tblCellMar>
        <w:tblLook w:val="04A0" w:firstRow="1" w:lastRow="0" w:firstColumn="1" w:lastColumn="0" w:noHBand="0" w:noVBand="1"/>
      </w:tblPr>
      <w:tblGrid>
        <w:gridCol w:w="2698"/>
        <w:gridCol w:w="2950"/>
        <w:gridCol w:w="3711"/>
      </w:tblGrid>
      <w:tr w:rsidR="00D8627D" w:rsidRPr="003765AB" w14:paraId="08519C49" w14:textId="77777777" w:rsidTr="00F92C83">
        <w:trPr>
          <w:trHeight w:val="259"/>
        </w:trPr>
        <w:tc>
          <w:tcPr>
            <w:tcW w:w="2698" w:type="dxa"/>
            <w:tcBorders>
              <w:top w:val="single" w:sz="4" w:space="0" w:color="000000"/>
              <w:left w:val="single" w:sz="4" w:space="0" w:color="000000"/>
              <w:bottom w:val="single" w:sz="4" w:space="0" w:color="000000"/>
              <w:right w:val="single" w:sz="4" w:space="0" w:color="000000"/>
            </w:tcBorders>
          </w:tcPr>
          <w:p w14:paraId="75FA6776" w14:textId="77777777" w:rsidR="00D8627D" w:rsidRPr="003765AB" w:rsidRDefault="00D8627D" w:rsidP="00F92C83">
            <w:pPr>
              <w:rPr>
                <w:rFonts w:ascii="Calibri" w:eastAsia="Calibri" w:hAnsi="Calibri" w:cs="Calibri"/>
              </w:rPr>
            </w:pPr>
            <w:r w:rsidRPr="003765AB">
              <w:rPr>
                <w:rFonts w:ascii="Comic Sans MS" w:eastAsia="Comic Sans MS" w:hAnsi="Comic Sans MS" w:cs="Comic Sans MS"/>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tcPr>
          <w:p w14:paraId="226013A1" w14:textId="77777777" w:rsidR="00D8627D" w:rsidRPr="003765AB" w:rsidRDefault="00D8627D" w:rsidP="00F92C83">
            <w:pPr>
              <w:rPr>
                <w:rFonts w:ascii="Calibri" w:eastAsia="Calibri" w:hAnsi="Calibri" w:cs="Calibri"/>
              </w:rPr>
            </w:pPr>
            <w:r w:rsidRPr="003765AB">
              <w:rPr>
                <w:rFonts w:ascii="Comic Sans MS" w:eastAsia="Comic Sans MS" w:hAnsi="Comic Sans MS" w:cs="Comic Sans MS"/>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tcPr>
          <w:p w14:paraId="5ADDC168" w14:textId="77777777" w:rsidR="00D8627D" w:rsidRPr="003765AB" w:rsidRDefault="00D8627D" w:rsidP="00F92C83">
            <w:pPr>
              <w:rPr>
                <w:rFonts w:ascii="Calibri" w:eastAsia="Calibri" w:hAnsi="Calibri" w:cs="Calibri"/>
              </w:rPr>
            </w:pPr>
            <w:r w:rsidRPr="003765AB">
              <w:rPr>
                <w:rFonts w:ascii="Comic Sans MS" w:eastAsia="Comic Sans MS" w:hAnsi="Comic Sans MS" w:cs="Comic Sans MS"/>
                <w:sz w:val="18"/>
              </w:rPr>
              <w:t xml:space="preserve">Responsibility </w:t>
            </w:r>
          </w:p>
        </w:tc>
      </w:tr>
      <w:tr w:rsidR="00D8627D" w:rsidRPr="003765AB" w14:paraId="6F2BE9A0" w14:textId="77777777" w:rsidTr="00F92C83">
        <w:trPr>
          <w:trHeight w:val="262"/>
        </w:trPr>
        <w:tc>
          <w:tcPr>
            <w:tcW w:w="2698" w:type="dxa"/>
            <w:tcBorders>
              <w:top w:val="single" w:sz="4" w:space="0" w:color="000000"/>
              <w:left w:val="single" w:sz="4" w:space="0" w:color="000000"/>
              <w:bottom w:val="single" w:sz="4" w:space="0" w:color="000000"/>
              <w:right w:val="single" w:sz="4" w:space="0" w:color="000000"/>
            </w:tcBorders>
          </w:tcPr>
          <w:p w14:paraId="3DE54668" w14:textId="77777777" w:rsidR="00D8627D" w:rsidRPr="003765AB" w:rsidRDefault="00D8627D" w:rsidP="00F92C83">
            <w:pPr>
              <w:rPr>
                <w:rFonts w:ascii="Calibri" w:eastAsia="Calibri" w:hAnsi="Calibri" w:cs="Calibri"/>
              </w:rPr>
            </w:pPr>
            <w:r w:rsidRPr="003765AB">
              <w:rPr>
                <w:rFonts w:ascii="Comic Sans MS" w:eastAsia="Comic Sans MS" w:hAnsi="Comic Sans MS" w:cs="Comic Sans MS"/>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tcPr>
          <w:p w14:paraId="1FCACBDD" w14:textId="7392BEE1" w:rsidR="00D8627D" w:rsidRPr="003765AB" w:rsidRDefault="00D8627D" w:rsidP="00EB6A7A">
            <w:pPr>
              <w:rPr>
                <w:rFonts w:ascii="Calibri" w:eastAsia="Calibri" w:hAnsi="Calibri" w:cs="Calibri"/>
              </w:rPr>
            </w:pPr>
            <w:r>
              <w:rPr>
                <w:rFonts w:ascii="Calibri" w:eastAsia="Calibri" w:hAnsi="Calibri" w:cs="Calibri"/>
              </w:rPr>
              <w:t>September 20</w:t>
            </w:r>
            <w:r w:rsidR="00EB6A7A">
              <w:rPr>
                <w:rFonts w:ascii="Calibri" w:eastAsia="Calibri" w:hAnsi="Calibri" w:cs="Calibri"/>
              </w:rPr>
              <w:t>20</w:t>
            </w:r>
          </w:p>
        </w:tc>
        <w:tc>
          <w:tcPr>
            <w:tcW w:w="3711" w:type="dxa"/>
            <w:tcBorders>
              <w:top w:val="single" w:sz="4" w:space="0" w:color="000000"/>
              <w:left w:val="single" w:sz="4" w:space="0" w:color="000000"/>
              <w:bottom w:val="single" w:sz="4" w:space="0" w:color="000000"/>
              <w:right w:val="single" w:sz="4" w:space="0" w:color="000000"/>
            </w:tcBorders>
          </w:tcPr>
          <w:p w14:paraId="41FBAD16" w14:textId="5A78E8A2" w:rsidR="00D8627D" w:rsidRPr="003765AB" w:rsidRDefault="00D8627D" w:rsidP="00F92C83">
            <w:pPr>
              <w:rPr>
                <w:rFonts w:ascii="Calibri" w:eastAsia="Calibri" w:hAnsi="Calibri" w:cs="Calibri"/>
              </w:rPr>
            </w:pPr>
            <w:r>
              <w:rPr>
                <w:rFonts w:ascii="Calibri" w:eastAsia="Calibri" w:hAnsi="Calibri" w:cs="Calibri"/>
              </w:rPr>
              <w:t>SLT</w:t>
            </w:r>
          </w:p>
        </w:tc>
      </w:tr>
      <w:tr w:rsidR="00D8627D" w:rsidRPr="003765AB" w14:paraId="6E5F7922" w14:textId="77777777" w:rsidTr="00F92C83">
        <w:trPr>
          <w:trHeight w:val="262"/>
        </w:trPr>
        <w:tc>
          <w:tcPr>
            <w:tcW w:w="2698" w:type="dxa"/>
            <w:tcBorders>
              <w:top w:val="single" w:sz="4" w:space="0" w:color="000000"/>
              <w:left w:val="single" w:sz="4" w:space="0" w:color="000000"/>
              <w:bottom w:val="single" w:sz="4" w:space="0" w:color="000000"/>
              <w:right w:val="single" w:sz="4" w:space="0" w:color="000000"/>
            </w:tcBorders>
          </w:tcPr>
          <w:p w14:paraId="02AE87A7" w14:textId="77777777" w:rsidR="00D8627D" w:rsidRPr="003765AB" w:rsidRDefault="00D8627D" w:rsidP="00F92C83">
            <w:pPr>
              <w:rPr>
                <w:rFonts w:ascii="Calibri" w:eastAsia="Calibri" w:hAnsi="Calibri" w:cs="Calibri"/>
              </w:rPr>
            </w:pPr>
            <w:r w:rsidRPr="003765AB">
              <w:rPr>
                <w:rFonts w:ascii="Comic Sans MS" w:eastAsia="Comic Sans MS" w:hAnsi="Comic Sans MS" w:cs="Comic Sans MS"/>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14:paraId="7C96D420" w14:textId="40F036F3" w:rsidR="00D8627D" w:rsidRPr="003765AB" w:rsidRDefault="00976501" w:rsidP="00EB6A7A">
            <w:pPr>
              <w:rPr>
                <w:rFonts w:ascii="Calibri" w:eastAsia="Calibri" w:hAnsi="Calibri" w:cs="Calibri"/>
              </w:rPr>
            </w:pPr>
            <w:r>
              <w:rPr>
                <w:rFonts w:ascii="Calibri" w:eastAsia="Calibri" w:hAnsi="Calibri" w:cs="Calibri"/>
              </w:rPr>
              <w:t xml:space="preserve">July </w:t>
            </w:r>
            <w:r w:rsidR="00D8627D">
              <w:rPr>
                <w:rFonts w:ascii="Calibri" w:eastAsia="Calibri" w:hAnsi="Calibri" w:cs="Calibri"/>
              </w:rPr>
              <w:t xml:space="preserve"> 202</w:t>
            </w:r>
            <w:r w:rsidR="00EB6A7A">
              <w:rPr>
                <w:rFonts w:ascii="Calibri" w:eastAsia="Calibri" w:hAnsi="Calibri" w:cs="Calibri"/>
              </w:rPr>
              <w:t>1</w:t>
            </w:r>
          </w:p>
        </w:tc>
        <w:tc>
          <w:tcPr>
            <w:tcW w:w="3711" w:type="dxa"/>
            <w:tcBorders>
              <w:top w:val="single" w:sz="4" w:space="0" w:color="000000"/>
              <w:left w:val="single" w:sz="4" w:space="0" w:color="000000"/>
              <w:bottom w:val="single" w:sz="4" w:space="0" w:color="000000"/>
              <w:right w:val="single" w:sz="4" w:space="0" w:color="000000"/>
            </w:tcBorders>
          </w:tcPr>
          <w:p w14:paraId="4154D440" w14:textId="03682C4C" w:rsidR="00D8627D" w:rsidRPr="003765AB" w:rsidRDefault="00D8627D" w:rsidP="00F92C83">
            <w:pPr>
              <w:rPr>
                <w:rFonts w:ascii="Calibri" w:eastAsia="Calibri" w:hAnsi="Calibri" w:cs="Calibri"/>
              </w:rPr>
            </w:pPr>
            <w:r>
              <w:rPr>
                <w:rFonts w:ascii="Calibri" w:eastAsia="Calibri" w:hAnsi="Calibri" w:cs="Calibri"/>
              </w:rPr>
              <w:t>SLT</w:t>
            </w:r>
          </w:p>
        </w:tc>
      </w:tr>
    </w:tbl>
    <w:p w14:paraId="5FB6FE0B" w14:textId="77777777" w:rsidR="00D8627D" w:rsidRDefault="00D8627D" w:rsidP="00D8627D">
      <w:pPr>
        <w:pStyle w:val="Default"/>
      </w:pPr>
      <w:r w:rsidRPr="003765AB">
        <w:rPr>
          <w:rFonts w:ascii="Arial" w:eastAsia="Arial" w:hAnsi="Arial" w:cs="Arial"/>
          <w:b/>
          <w:sz w:val="20"/>
          <w:lang w:eastAsia="en-GB"/>
        </w:rPr>
        <w:t xml:space="preserve"> </w:t>
      </w:r>
      <w:r>
        <w:rPr>
          <w:rFonts w:ascii="Arial" w:eastAsia="Arial" w:hAnsi="Arial" w:cs="Arial"/>
          <w:b/>
          <w:sz w:val="20"/>
          <w:lang w:eastAsia="en-GB"/>
        </w:rPr>
        <w:tab/>
      </w:r>
    </w:p>
    <w:p w14:paraId="28773B1B" w14:textId="77777777" w:rsidR="00EB6A7A" w:rsidRPr="00B46256" w:rsidRDefault="00EB6A7A" w:rsidP="00EB6A7A">
      <w:pPr>
        <w:spacing w:after="160" w:line="256" w:lineRule="auto"/>
        <w:jc w:val="center"/>
        <w:rPr>
          <w:i/>
          <w:color w:val="0033CC"/>
          <w:sz w:val="28"/>
          <w:szCs w:val="28"/>
        </w:rPr>
      </w:pPr>
      <w:r w:rsidRPr="002A1E36">
        <w:rPr>
          <w:color w:val="0033CC"/>
          <w:sz w:val="28"/>
          <w:szCs w:val="28"/>
        </w:rPr>
        <w:t>“</w:t>
      </w:r>
      <w:r>
        <w:rPr>
          <w:i/>
          <w:color w:val="0033CC"/>
          <w:sz w:val="28"/>
          <w:szCs w:val="28"/>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rPr>
        <w:t>”</w:t>
      </w:r>
    </w:p>
    <w:p w14:paraId="012342F8" w14:textId="77777777" w:rsidR="00EB6A7A" w:rsidRDefault="00EB6A7A" w:rsidP="00EB6A7A">
      <w:pPr>
        <w:spacing w:after="160" w:line="256" w:lineRule="auto"/>
        <w:jc w:val="center"/>
        <w:rPr>
          <w:i/>
          <w:color w:val="0000FF"/>
          <w:sz w:val="28"/>
          <w:szCs w:val="28"/>
        </w:rPr>
      </w:pPr>
    </w:p>
    <w:p w14:paraId="40CCD47F" w14:textId="0D00F305" w:rsidR="00EB6A7A" w:rsidRDefault="00EB6A7A" w:rsidP="00EB6A7A">
      <w:pPr>
        <w:jc w:val="cente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 xml:space="preserve">Confidence    </w:t>
      </w:r>
      <w:r w:rsidRPr="00B46256">
        <w:rPr>
          <w:rStyle w:val="IntenseEmphasis"/>
          <w:rFonts w:ascii="Times New Roman" w:hAnsi="Times New Roman"/>
          <w:color w:val="FFC000"/>
          <w:sz w:val="36"/>
          <w:szCs w:val="44"/>
        </w:rPr>
        <w:t xml:space="preserve">Determination </w:t>
      </w:r>
      <w:r w:rsidRPr="00B46256">
        <w:rPr>
          <w:rStyle w:val="IntenseEmphasis"/>
          <w:rFonts w:ascii="Times New Roman" w:hAnsi="Times New Roman"/>
          <w:color w:val="00B050"/>
          <w:sz w:val="36"/>
          <w:szCs w:val="44"/>
        </w:rPr>
        <w:t xml:space="preserve">Faith    </w:t>
      </w:r>
      <w:r w:rsidRPr="00B46256">
        <w:rPr>
          <w:rStyle w:val="IntenseEmphasis"/>
          <w:rFonts w:ascii="Times New Roman" w:hAnsi="Times New Roman"/>
          <w:color w:val="00B0F0"/>
          <w:sz w:val="36"/>
          <w:szCs w:val="44"/>
        </w:rPr>
        <w:t xml:space="preserve">Friendship    </w:t>
      </w:r>
      <w:r w:rsidRPr="00B46256">
        <w:rPr>
          <w:rStyle w:val="IntenseEmphasis"/>
          <w:rFonts w:ascii="Times New Roman" w:hAnsi="Times New Roman"/>
          <w:color w:val="5F497A"/>
          <w:sz w:val="36"/>
          <w:szCs w:val="44"/>
        </w:rPr>
        <w:t>Respect</w:t>
      </w:r>
    </w:p>
    <w:p w14:paraId="226C755B" w14:textId="77777777" w:rsidR="00EB6A7A" w:rsidRDefault="00EB6A7A" w:rsidP="004F50DB">
      <w:pPr>
        <w:jc w:val="both"/>
      </w:pPr>
    </w:p>
    <w:p w14:paraId="5A1DE408" w14:textId="7877AE73" w:rsidR="004F50DB" w:rsidRDefault="004F50DB" w:rsidP="004F50DB">
      <w:pPr>
        <w:jc w:val="both"/>
      </w:pPr>
      <w:r>
        <w:t xml:space="preserve">This </w:t>
      </w:r>
      <w:r w:rsidR="004C6839">
        <w:t>forms part of</w:t>
      </w:r>
      <w:r>
        <w:t xml:space="preserve"> our policy for teaching and learning. It relates to the ethos of the school and has direct links with curriculum planning and assessment.</w:t>
      </w:r>
      <w:r w:rsidR="00DC5F47">
        <w:t xml:space="preserve">  This range of</w:t>
      </w:r>
      <w:r w:rsidR="00283985">
        <w:t xml:space="preserve"> techniques supports the staff pedagogy.  </w:t>
      </w:r>
    </w:p>
    <w:p w14:paraId="5A1DE409" w14:textId="6B06DF7D" w:rsidR="004F50DB" w:rsidRPr="004F50DB" w:rsidRDefault="004F50DB" w:rsidP="00DC5F47">
      <w:pPr>
        <w:jc w:val="center"/>
        <w:rPr>
          <w:b/>
        </w:rPr>
      </w:pPr>
      <w:r>
        <w:rPr>
          <w:b/>
        </w:rPr>
        <w:t>How children’s work is received and marked and the nature of feedback given to them will have a direct be</w:t>
      </w:r>
      <w:r w:rsidR="00DC5F47">
        <w:rPr>
          <w:b/>
        </w:rPr>
        <w:t>aring on learning attitudes</w:t>
      </w:r>
      <w:r>
        <w:rPr>
          <w:b/>
        </w:rPr>
        <w:t xml:space="preserve">. </w:t>
      </w:r>
      <w:r w:rsidR="00DC5F47">
        <w:rPr>
          <w:b/>
        </w:rPr>
        <w:t>As a Christian school, our values of Christian faith impacts on children’s well-being and achievement and how we view our learning support.</w:t>
      </w:r>
    </w:p>
    <w:p w14:paraId="5A1DE40A" w14:textId="77777777" w:rsidR="009C2B47" w:rsidRPr="00937021" w:rsidRDefault="0034052F" w:rsidP="00EB6A7A">
      <w:pPr>
        <w:jc w:val="center"/>
        <w:rPr>
          <w:b/>
          <w:i/>
          <w:u w:val="single"/>
        </w:rPr>
      </w:pPr>
      <w:r w:rsidRPr="00937021">
        <w:rPr>
          <w:b/>
          <w:i/>
          <w:u w:val="single"/>
        </w:rPr>
        <w:t>General Principles</w:t>
      </w:r>
    </w:p>
    <w:p w14:paraId="5A1DE40B" w14:textId="71860DF0" w:rsidR="0034052F" w:rsidRDefault="0049537B" w:rsidP="00EB6A7A">
      <w:r>
        <w:t xml:space="preserve">Effective marking is an essential part of the education process.  It is an interaction between teacher and pupil: a way of acknowledging pupils’ work, checking the outcomes and making decisions about what </w:t>
      </w:r>
      <w:r w:rsidR="00516375">
        <w:t>staf</w:t>
      </w:r>
      <w:r w:rsidR="00DC5F47">
        <w:t>f</w:t>
      </w:r>
      <w:r>
        <w:t xml:space="preserve"> and pupils need to do </w:t>
      </w:r>
      <w:r w:rsidR="008874FC">
        <w:t>next, with the primary aim of d</w:t>
      </w:r>
      <w:r>
        <w:t>riving pupil progress.   This is achieved without extensive written dialogue but by being linked with individual assessment</w:t>
      </w:r>
      <w:r w:rsidR="00DC5F47">
        <w:t xml:space="preserve"> questions</w:t>
      </w:r>
      <w:r>
        <w:t xml:space="preserve"> and next steps linked to teacher planning.  </w:t>
      </w:r>
    </w:p>
    <w:p w14:paraId="5A1DE40E" w14:textId="4697BA07" w:rsidR="0034052F" w:rsidRDefault="008874FC" w:rsidP="00EB6A7A">
      <w:pPr>
        <w:jc w:val="both"/>
      </w:pPr>
      <w:r>
        <w:t xml:space="preserve">The marking should move the learning forward.  It aids lesson planning, assessment, reporting and target setting. </w:t>
      </w:r>
      <w:r w:rsidR="0049537B">
        <w:t xml:space="preserve">A balance between peer marking, self-marking and teacher marking </w:t>
      </w:r>
      <w:r>
        <w:t>is</w:t>
      </w:r>
      <w:r w:rsidR="0049537B">
        <w:t xml:space="preserve"> in p</w:t>
      </w:r>
      <w:r>
        <w:t>lace</w:t>
      </w:r>
      <w:r w:rsidR="0049537B">
        <w:t xml:space="preserve">.  </w:t>
      </w:r>
    </w:p>
    <w:p w14:paraId="5A1DE40F" w14:textId="6F4693B5" w:rsidR="0034052F" w:rsidRDefault="0049537B" w:rsidP="00EB6A7A">
      <w:r w:rsidRPr="00EB6A7A">
        <w:rPr>
          <w:b/>
        </w:rPr>
        <w:t>Marking</w:t>
      </w:r>
      <w:r>
        <w:t xml:space="preserve"> should be </w:t>
      </w:r>
      <w:r w:rsidR="0034052F" w:rsidRPr="00EB6A7A">
        <w:rPr>
          <w:b/>
        </w:rPr>
        <w:t>Manageable</w:t>
      </w:r>
      <w:r>
        <w:t xml:space="preserve">, </w:t>
      </w:r>
      <w:r w:rsidRPr="00EB6A7A">
        <w:rPr>
          <w:b/>
        </w:rPr>
        <w:t>Meaningful</w:t>
      </w:r>
      <w:r>
        <w:t xml:space="preserve"> and </w:t>
      </w:r>
      <w:r w:rsidRPr="00EB6A7A">
        <w:rPr>
          <w:b/>
        </w:rPr>
        <w:t>Motivating</w:t>
      </w:r>
      <w:r>
        <w:t xml:space="preserve">.  </w:t>
      </w:r>
    </w:p>
    <w:p w14:paraId="3D9AEE44" w14:textId="23D05AA9" w:rsidR="00B37A75" w:rsidRPr="00364015" w:rsidRDefault="00B37A75" w:rsidP="00EB6A7A">
      <w:pPr>
        <w:pStyle w:val="ListParagraph"/>
        <w:ind w:left="426"/>
      </w:pPr>
      <w:r>
        <w:rPr>
          <w:b/>
        </w:rPr>
        <w:t xml:space="preserve">Manageable – </w:t>
      </w:r>
      <w:r w:rsidRPr="00364015">
        <w:t>Marking practice is proportionate and considers the frequency and complexity of written feedback, as well as the cost and time-effectiveness of marking in relation to the overall workload of teachers</w:t>
      </w:r>
      <w:r w:rsidR="00364015" w:rsidRPr="00364015">
        <w:t>.  See assessment policy.</w:t>
      </w:r>
    </w:p>
    <w:p w14:paraId="23B9A3DF" w14:textId="6E9E4693" w:rsidR="00364015" w:rsidRDefault="00364015" w:rsidP="00EB6A7A">
      <w:pPr>
        <w:pStyle w:val="ListParagraph"/>
        <w:ind w:left="426"/>
      </w:pPr>
      <w:r>
        <w:rPr>
          <w:b/>
        </w:rPr>
        <w:t xml:space="preserve">Meaningful – </w:t>
      </w:r>
      <w:r w:rsidRPr="00364015">
        <w:t xml:space="preserve">Marking varies by age group, subject, and what works best for the individual pupil and teacher in relation to any particular piece of work.  Teachers are trusted to incorporate the outcomes into subsequent planning and teaching.  </w:t>
      </w:r>
    </w:p>
    <w:p w14:paraId="490654F0" w14:textId="61803C6B" w:rsidR="00364015" w:rsidRPr="00364015" w:rsidRDefault="00283985" w:rsidP="00EB6A7A">
      <w:pPr>
        <w:pStyle w:val="ListParagraph"/>
        <w:ind w:left="426"/>
      </w:pPr>
      <w:r>
        <w:rPr>
          <w:b/>
        </w:rPr>
        <w:t>Motivating –</w:t>
      </w:r>
      <w:r>
        <w:t xml:space="preserve"> Marking must be used to motivate pupils to progress.  This does not mean always writing in depth comments – short, challenging questions are more effective.</w:t>
      </w:r>
    </w:p>
    <w:p w14:paraId="5AE756D0" w14:textId="77777777" w:rsidR="00EB6A7A" w:rsidRDefault="00EB6A7A" w:rsidP="008874FC">
      <w:pPr>
        <w:rPr>
          <w:b/>
          <w:i/>
          <w:u w:val="single"/>
        </w:rPr>
      </w:pPr>
    </w:p>
    <w:p w14:paraId="5A1DE429" w14:textId="75806D20" w:rsidR="00BD5050" w:rsidRPr="008874FC" w:rsidRDefault="00EE68C1" w:rsidP="008874FC">
      <w:pPr>
        <w:rPr>
          <w:i/>
          <w:u w:val="single"/>
        </w:rPr>
      </w:pPr>
      <w:bookmarkStart w:id="0" w:name="_GoBack"/>
      <w:bookmarkEnd w:id="0"/>
      <w:r w:rsidRPr="008874FC">
        <w:rPr>
          <w:b/>
          <w:i/>
          <w:u w:val="single"/>
        </w:rPr>
        <w:t>Written feedback</w:t>
      </w:r>
    </w:p>
    <w:p w14:paraId="5AB48EC9" w14:textId="2FA80D26" w:rsidR="00C349FF" w:rsidRDefault="00EE68C1" w:rsidP="008874FC">
      <w:pPr>
        <w:jc w:val="both"/>
      </w:pPr>
      <w:r>
        <w:t xml:space="preserve">This will be given when the work undertaken is child generated or independent. The </w:t>
      </w:r>
      <w:r w:rsidR="00012428">
        <w:t>type</w:t>
      </w:r>
      <w:r>
        <w:t xml:space="preserve"> and fr</w:t>
      </w:r>
      <w:r w:rsidR="00500D7C">
        <w:t xml:space="preserve">equency may vary with subjects </w:t>
      </w:r>
      <w:r w:rsidR="00012428">
        <w:t>but there are common principles and formats which give consistency across the school</w:t>
      </w:r>
      <w:r w:rsidR="0049537B">
        <w:t xml:space="preserve"> and all subjects</w:t>
      </w:r>
      <w:r w:rsidR="00012428">
        <w:t>:</w:t>
      </w:r>
    </w:p>
    <w:p w14:paraId="3B44F90C" w14:textId="77777777" w:rsidR="008874FC" w:rsidRDefault="008874FC" w:rsidP="00EB6A7A">
      <w:pPr>
        <w:pStyle w:val="ListParagraph"/>
        <w:numPr>
          <w:ilvl w:val="0"/>
          <w:numId w:val="2"/>
        </w:numPr>
        <w:ind w:left="709"/>
        <w:jc w:val="both"/>
      </w:pPr>
      <w:r>
        <w:t>Learning objectives are set at the start of the task with a question that gives greater depth.</w:t>
      </w:r>
    </w:p>
    <w:p w14:paraId="082200F6" w14:textId="77777777" w:rsidR="008874FC" w:rsidRDefault="008874FC" w:rsidP="00EB6A7A">
      <w:pPr>
        <w:pStyle w:val="ListParagraph"/>
        <w:numPr>
          <w:ilvl w:val="0"/>
          <w:numId w:val="2"/>
        </w:numPr>
        <w:ind w:left="709"/>
      </w:pPr>
      <w:r>
        <w:t>LO to be marked for every piece of work</w:t>
      </w:r>
    </w:p>
    <w:p w14:paraId="1B8B8DD9" w14:textId="77777777" w:rsidR="008874FC" w:rsidRDefault="008874FC" w:rsidP="00EB6A7A">
      <w:pPr>
        <w:pStyle w:val="ListParagraph"/>
        <w:numPr>
          <w:ilvl w:val="1"/>
          <w:numId w:val="2"/>
        </w:numPr>
        <w:ind w:left="709"/>
      </w:pPr>
      <w:r>
        <w:t>1 tick = achieved</w:t>
      </w:r>
    </w:p>
    <w:p w14:paraId="53CD8550" w14:textId="77777777" w:rsidR="008874FC" w:rsidRDefault="008874FC" w:rsidP="00EB6A7A">
      <w:pPr>
        <w:pStyle w:val="ListParagraph"/>
        <w:numPr>
          <w:ilvl w:val="1"/>
          <w:numId w:val="2"/>
        </w:numPr>
        <w:ind w:left="709"/>
      </w:pPr>
      <w:r>
        <w:t>2 ticks = exceeded</w:t>
      </w:r>
    </w:p>
    <w:p w14:paraId="0E8032D8" w14:textId="77777777" w:rsidR="008874FC" w:rsidRDefault="008874FC" w:rsidP="00EB6A7A">
      <w:pPr>
        <w:pStyle w:val="ListParagraph"/>
        <w:numPr>
          <w:ilvl w:val="1"/>
          <w:numId w:val="2"/>
        </w:numPr>
        <w:ind w:left="709"/>
      </w:pPr>
      <w:r>
        <w:t>Circle = not achieved</w:t>
      </w:r>
    </w:p>
    <w:p w14:paraId="7A6AF0C0" w14:textId="3C97FC44" w:rsidR="008874FC" w:rsidRDefault="008874FC" w:rsidP="00EB6A7A">
      <w:pPr>
        <w:pStyle w:val="ListParagraph"/>
        <w:numPr>
          <w:ilvl w:val="0"/>
          <w:numId w:val="2"/>
        </w:numPr>
        <w:ind w:left="709"/>
        <w:jc w:val="both"/>
      </w:pPr>
      <w:r>
        <w:t>Developmental Questions to be used. English and maths at least 1 a week. Other subjects, at least 2 a term. Sufficient time is given for the pupils to read and respond to the comments on a daily basis.</w:t>
      </w:r>
      <w:r>
        <w:t xml:space="preserve"> </w:t>
      </w:r>
      <w:r>
        <w:t>It is written in language that the child understands and can respond to.</w:t>
      </w:r>
      <w:r>
        <w:t xml:space="preserve"> </w:t>
      </w:r>
      <w:r>
        <w:t xml:space="preserve"> </w:t>
      </w:r>
    </w:p>
    <w:p w14:paraId="509266D6" w14:textId="2DB59160" w:rsidR="00C349FF" w:rsidRDefault="00C349FF" w:rsidP="00EB6A7A">
      <w:pPr>
        <w:pStyle w:val="ListParagraph"/>
        <w:numPr>
          <w:ilvl w:val="0"/>
          <w:numId w:val="2"/>
        </w:numPr>
        <w:ind w:left="709"/>
        <w:jc w:val="both"/>
      </w:pPr>
      <w:r>
        <w:t xml:space="preserve">The majority of spellings need to be corrected by the child.  The </w:t>
      </w:r>
      <w:r w:rsidR="00AA7A9C">
        <w:t xml:space="preserve">incorrect </w:t>
      </w:r>
      <w:r>
        <w:t xml:space="preserve">word </w:t>
      </w:r>
      <w:r w:rsidR="00FC088A">
        <w:t xml:space="preserve">is </w:t>
      </w:r>
      <w:r w:rsidR="00FC088A" w:rsidRPr="00AA7A9C">
        <w:t>highlighted by an sp in the margin</w:t>
      </w:r>
      <w:r w:rsidRPr="00AA7A9C">
        <w:t>, maximum of five spellings per piece of work.  Children can use spelling aides</w:t>
      </w:r>
      <w:r w:rsidR="00FC088A" w:rsidRPr="00AA7A9C">
        <w:t xml:space="preserve"> or word mats</w:t>
      </w:r>
      <w:r w:rsidR="008874FC">
        <w:t xml:space="preserve"> to correct</w:t>
      </w:r>
      <w:r w:rsidRPr="00AA7A9C">
        <w:t>.</w:t>
      </w:r>
      <w:r>
        <w:t xml:space="preserve">  </w:t>
      </w:r>
    </w:p>
    <w:p w14:paraId="2996CD18" w14:textId="37705492" w:rsidR="008874FC" w:rsidRDefault="008874FC" w:rsidP="00EB6A7A">
      <w:pPr>
        <w:pStyle w:val="ListParagraph"/>
        <w:numPr>
          <w:ilvl w:val="0"/>
          <w:numId w:val="2"/>
        </w:numPr>
        <w:ind w:left="709"/>
        <w:jc w:val="both"/>
      </w:pPr>
      <w:r>
        <w:t>If verbal feedback is given, this is marked VF</w:t>
      </w:r>
    </w:p>
    <w:p w14:paraId="5A1DE432" w14:textId="45CB27D4" w:rsidR="00BD5050" w:rsidRPr="00EE68C1" w:rsidRDefault="008874FC" w:rsidP="00EB6A7A">
      <w:pPr>
        <w:pStyle w:val="ListParagraph"/>
        <w:numPr>
          <w:ilvl w:val="0"/>
          <w:numId w:val="2"/>
        </w:numPr>
        <w:ind w:left="709"/>
        <w:jc w:val="both"/>
      </w:pPr>
      <w:r>
        <w:t>If a TA works with a child, it is marked TA</w:t>
      </w:r>
    </w:p>
    <w:sectPr w:rsidR="00BD5050" w:rsidRPr="00EE68C1" w:rsidSect="00EB6A7A">
      <w:pgSz w:w="11906" w:h="16838"/>
      <w:pgMar w:top="1134" w:right="1134" w:bottom="1134" w:left="1134" w:header="709" w:footer="709" w:gutter="0"/>
      <w:pgBorders w:display="firstPage"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49E"/>
    <w:multiLevelType w:val="hybridMultilevel"/>
    <w:tmpl w:val="B6B2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2F1"/>
    <w:multiLevelType w:val="hybridMultilevel"/>
    <w:tmpl w:val="019AC654"/>
    <w:lvl w:ilvl="0" w:tplc="D3841830">
      <w:start w:val="201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6E6105"/>
    <w:multiLevelType w:val="hybridMultilevel"/>
    <w:tmpl w:val="A5FC62CE"/>
    <w:lvl w:ilvl="0" w:tplc="FBA22C22">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66B43"/>
    <w:multiLevelType w:val="hybridMultilevel"/>
    <w:tmpl w:val="4E14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E156A"/>
    <w:multiLevelType w:val="hybridMultilevel"/>
    <w:tmpl w:val="4EEA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52B90"/>
    <w:multiLevelType w:val="hybridMultilevel"/>
    <w:tmpl w:val="E1D0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06DFD"/>
    <w:multiLevelType w:val="hybridMultilevel"/>
    <w:tmpl w:val="B51686A2"/>
    <w:lvl w:ilvl="0" w:tplc="FBA22C22">
      <w:start w:val="5"/>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20469D3"/>
    <w:multiLevelType w:val="hybridMultilevel"/>
    <w:tmpl w:val="312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45761"/>
    <w:multiLevelType w:val="hybridMultilevel"/>
    <w:tmpl w:val="F0EE85A6"/>
    <w:lvl w:ilvl="0" w:tplc="FBA22C22">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03081"/>
    <w:multiLevelType w:val="hybridMultilevel"/>
    <w:tmpl w:val="0E4A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AD0DC8"/>
    <w:multiLevelType w:val="multilevel"/>
    <w:tmpl w:val="BACCC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A39E3"/>
    <w:multiLevelType w:val="hybridMultilevel"/>
    <w:tmpl w:val="65421F9E"/>
    <w:lvl w:ilvl="0" w:tplc="FBA22C22">
      <w:start w:val="5"/>
      <w:numFmt w:val="bullet"/>
      <w:lvlText w:val="-"/>
      <w:lvlJc w:val="left"/>
      <w:pPr>
        <w:ind w:left="2520" w:hanging="360"/>
      </w:pPr>
      <w:rPr>
        <w:rFonts w:ascii="Calibri" w:eastAsiaTheme="minorHAnsi" w:hAnsi="Calibri" w:cstheme="minorBidi"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1C1CD8"/>
    <w:multiLevelType w:val="hybridMultilevel"/>
    <w:tmpl w:val="7A64C5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C63A9"/>
    <w:multiLevelType w:val="hybridMultilevel"/>
    <w:tmpl w:val="460820DE"/>
    <w:lvl w:ilvl="0" w:tplc="D3841830">
      <w:start w:val="201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01586D"/>
    <w:multiLevelType w:val="hybridMultilevel"/>
    <w:tmpl w:val="36E0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E44B5"/>
    <w:multiLevelType w:val="hybridMultilevel"/>
    <w:tmpl w:val="124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958BB"/>
    <w:multiLevelType w:val="hybridMultilevel"/>
    <w:tmpl w:val="A3F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39ED"/>
    <w:multiLevelType w:val="hybridMultilevel"/>
    <w:tmpl w:val="F148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D27CB"/>
    <w:multiLevelType w:val="hybridMultilevel"/>
    <w:tmpl w:val="7BCE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050DC"/>
    <w:multiLevelType w:val="hybridMultilevel"/>
    <w:tmpl w:val="90DC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0539F"/>
    <w:multiLevelType w:val="hybridMultilevel"/>
    <w:tmpl w:val="7FF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C497A"/>
    <w:multiLevelType w:val="hybridMultilevel"/>
    <w:tmpl w:val="233E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461EB"/>
    <w:multiLevelType w:val="hybridMultilevel"/>
    <w:tmpl w:val="88D24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54318"/>
    <w:multiLevelType w:val="hybridMultilevel"/>
    <w:tmpl w:val="B05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60DC6"/>
    <w:multiLevelType w:val="hybridMultilevel"/>
    <w:tmpl w:val="5390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D1D98"/>
    <w:multiLevelType w:val="hybridMultilevel"/>
    <w:tmpl w:val="FF8EADBA"/>
    <w:lvl w:ilvl="0" w:tplc="FBA22C22">
      <w:start w:val="5"/>
      <w:numFmt w:val="bullet"/>
      <w:lvlText w:val="-"/>
      <w:lvlJc w:val="left"/>
      <w:pPr>
        <w:ind w:left="360" w:hanging="360"/>
      </w:pPr>
      <w:rPr>
        <w:rFonts w:ascii="Calibri" w:eastAsiaTheme="minorHAnsi" w:hAnsi="Calibri" w:cstheme="minorBidi" w:hint="default"/>
      </w:rPr>
    </w:lvl>
    <w:lvl w:ilvl="1" w:tplc="FBA22C22">
      <w:start w:val="5"/>
      <w:numFmt w:val="bullet"/>
      <w:lvlText w:val="-"/>
      <w:lvlJc w:val="left"/>
      <w:pPr>
        <w:ind w:left="0" w:hanging="360"/>
      </w:pPr>
      <w:rPr>
        <w:rFonts w:ascii="Calibri" w:eastAsiaTheme="minorHAnsi" w:hAnsi="Calibri" w:cstheme="minorBidi" w:hint="default"/>
      </w:rPr>
    </w:lvl>
    <w:lvl w:ilvl="2" w:tplc="08090005">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6" w15:restartNumberingAfterBreak="0">
    <w:nsid w:val="54F457A3"/>
    <w:multiLevelType w:val="hybridMultilevel"/>
    <w:tmpl w:val="4E52016C"/>
    <w:lvl w:ilvl="0" w:tplc="D3841830">
      <w:start w:val="201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706EEF"/>
    <w:multiLevelType w:val="hybridMultilevel"/>
    <w:tmpl w:val="B874D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5393E"/>
    <w:multiLevelType w:val="hybridMultilevel"/>
    <w:tmpl w:val="5458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D5A74"/>
    <w:multiLevelType w:val="hybridMultilevel"/>
    <w:tmpl w:val="AD3ECE34"/>
    <w:lvl w:ilvl="0" w:tplc="D3841830">
      <w:start w:val="201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662720"/>
    <w:multiLevelType w:val="hybridMultilevel"/>
    <w:tmpl w:val="7FC0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C45F8"/>
    <w:multiLevelType w:val="hybridMultilevel"/>
    <w:tmpl w:val="27566476"/>
    <w:lvl w:ilvl="0" w:tplc="FBA22C22">
      <w:start w:val="5"/>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B52DD"/>
    <w:multiLevelType w:val="hybridMultilevel"/>
    <w:tmpl w:val="83FE1A32"/>
    <w:lvl w:ilvl="0" w:tplc="D3841830">
      <w:start w:val="201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DA2DAC"/>
    <w:multiLevelType w:val="hybridMultilevel"/>
    <w:tmpl w:val="8D24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F7660"/>
    <w:multiLevelType w:val="hybridMultilevel"/>
    <w:tmpl w:val="CE6C85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221C4C"/>
    <w:multiLevelType w:val="hybridMultilevel"/>
    <w:tmpl w:val="82E2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B4CEA"/>
    <w:multiLevelType w:val="hybridMultilevel"/>
    <w:tmpl w:val="E4F4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4"/>
  </w:num>
  <w:num w:numId="4">
    <w:abstractNumId w:val="28"/>
  </w:num>
  <w:num w:numId="5">
    <w:abstractNumId w:val="11"/>
  </w:num>
  <w:num w:numId="6">
    <w:abstractNumId w:val="4"/>
  </w:num>
  <w:num w:numId="7">
    <w:abstractNumId w:val="33"/>
  </w:num>
  <w:num w:numId="8">
    <w:abstractNumId w:val="27"/>
  </w:num>
  <w:num w:numId="9">
    <w:abstractNumId w:val="35"/>
  </w:num>
  <w:num w:numId="10">
    <w:abstractNumId w:val="7"/>
  </w:num>
  <w:num w:numId="11">
    <w:abstractNumId w:val="21"/>
  </w:num>
  <w:num w:numId="12">
    <w:abstractNumId w:val="14"/>
  </w:num>
  <w:num w:numId="13">
    <w:abstractNumId w:val="9"/>
  </w:num>
  <w:num w:numId="14">
    <w:abstractNumId w:val="30"/>
  </w:num>
  <w:num w:numId="15">
    <w:abstractNumId w:val="18"/>
  </w:num>
  <w:num w:numId="16">
    <w:abstractNumId w:val="6"/>
  </w:num>
  <w:num w:numId="17">
    <w:abstractNumId w:val="31"/>
  </w:num>
  <w:num w:numId="18">
    <w:abstractNumId w:val="25"/>
  </w:num>
  <w:num w:numId="19">
    <w:abstractNumId w:val="8"/>
  </w:num>
  <w:num w:numId="20">
    <w:abstractNumId w:val="2"/>
  </w:num>
  <w:num w:numId="21">
    <w:abstractNumId w:val="12"/>
  </w:num>
  <w:num w:numId="22">
    <w:abstractNumId w:val="22"/>
  </w:num>
  <w:num w:numId="23">
    <w:abstractNumId w:val="5"/>
  </w:num>
  <w:num w:numId="24">
    <w:abstractNumId w:val="23"/>
  </w:num>
  <w:num w:numId="25">
    <w:abstractNumId w:val="26"/>
  </w:num>
  <w:num w:numId="26">
    <w:abstractNumId w:val="29"/>
  </w:num>
  <w:num w:numId="27">
    <w:abstractNumId w:val="13"/>
  </w:num>
  <w:num w:numId="28">
    <w:abstractNumId w:val="32"/>
  </w:num>
  <w:num w:numId="29">
    <w:abstractNumId w:val="10"/>
  </w:num>
  <w:num w:numId="30">
    <w:abstractNumId w:val="1"/>
  </w:num>
  <w:num w:numId="31">
    <w:abstractNumId w:val="0"/>
  </w:num>
  <w:num w:numId="32">
    <w:abstractNumId w:val="36"/>
  </w:num>
  <w:num w:numId="33">
    <w:abstractNumId w:val="3"/>
  </w:num>
  <w:num w:numId="34">
    <w:abstractNumId w:val="17"/>
  </w:num>
  <w:num w:numId="35">
    <w:abstractNumId w:val="16"/>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47"/>
    <w:rsid w:val="00004FD1"/>
    <w:rsid w:val="00012428"/>
    <w:rsid w:val="000160BE"/>
    <w:rsid w:val="00036084"/>
    <w:rsid w:val="0006705A"/>
    <w:rsid w:val="00067C8F"/>
    <w:rsid w:val="000A02A9"/>
    <w:rsid w:val="000B2AEF"/>
    <w:rsid w:val="000B47F8"/>
    <w:rsid w:val="001624CF"/>
    <w:rsid w:val="00191D0A"/>
    <w:rsid w:val="001A38A6"/>
    <w:rsid w:val="001B3883"/>
    <w:rsid w:val="001C00A0"/>
    <w:rsid w:val="001D2FEB"/>
    <w:rsid w:val="001D7191"/>
    <w:rsid w:val="00217B48"/>
    <w:rsid w:val="00283985"/>
    <w:rsid w:val="002F6971"/>
    <w:rsid w:val="00313B02"/>
    <w:rsid w:val="003356C9"/>
    <w:rsid w:val="0034052F"/>
    <w:rsid w:val="00354941"/>
    <w:rsid w:val="00364015"/>
    <w:rsid w:val="003B3ABF"/>
    <w:rsid w:val="004360F9"/>
    <w:rsid w:val="004430F4"/>
    <w:rsid w:val="0047035C"/>
    <w:rsid w:val="00476F70"/>
    <w:rsid w:val="0049537B"/>
    <w:rsid w:val="004A182D"/>
    <w:rsid w:val="004B52A0"/>
    <w:rsid w:val="004C2C60"/>
    <w:rsid w:val="004C669B"/>
    <w:rsid w:val="004C6839"/>
    <w:rsid w:val="004D3F66"/>
    <w:rsid w:val="004D4445"/>
    <w:rsid w:val="004F2FA7"/>
    <w:rsid w:val="004F326E"/>
    <w:rsid w:val="004F50DB"/>
    <w:rsid w:val="004F7CD1"/>
    <w:rsid w:val="00500D7C"/>
    <w:rsid w:val="00516375"/>
    <w:rsid w:val="00532E21"/>
    <w:rsid w:val="00582285"/>
    <w:rsid w:val="005D6C90"/>
    <w:rsid w:val="006021CF"/>
    <w:rsid w:val="00634C2C"/>
    <w:rsid w:val="0063519E"/>
    <w:rsid w:val="00675483"/>
    <w:rsid w:val="006B6BDB"/>
    <w:rsid w:val="006C2533"/>
    <w:rsid w:val="006C3E07"/>
    <w:rsid w:val="006C5BFD"/>
    <w:rsid w:val="00711A30"/>
    <w:rsid w:val="00735908"/>
    <w:rsid w:val="00751308"/>
    <w:rsid w:val="00753511"/>
    <w:rsid w:val="007570F3"/>
    <w:rsid w:val="00766F12"/>
    <w:rsid w:val="007B55BE"/>
    <w:rsid w:val="008874FC"/>
    <w:rsid w:val="008C7B68"/>
    <w:rsid w:val="008D50F4"/>
    <w:rsid w:val="00901BC9"/>
    <w:rsid w:val="0090367F"/>
    <w:rsid w:val="00937021"/>
    <w:rsid w:val="00941754"/>
    <w:rsid w:val="009526AD"/>
    <w:rsid w:val="00956D6B"/>
    <w:rsid w:val="00974F74"/>
    <w:rsid w:val="00976501"/>
    <w:rsid w:val="009A252B"/>
    <w:rsid w:val="009C2B47"/>
    <w:rsid w:val="00A16353"/>
    <w:rsid w:val="00A17A9D"/>
    <w:rsid w:val="00A3583F"/>
    <w:rsid w:val="00A87EBF"/>
    <w:rsid w:val="00AA7A9C"/>
    <w:rsid w:val="00AF6118"/>
    <w:rsid w:val="00B33FB5"/>
    <w:rsid w:val="00B37A75"/>
    <w:rsid w:val="00B54B13"/>
    <w:rsid w:val="00B55CDA"/>
    <w:rsid w:val="00B56A95"/>
    <w:rsid w:val="00B61E54"/>
    <w:rsid w:val="00B90B34"/>
    <w:rsid w:val="00BD5050"/>
    <w:rsid w:val="00BD7AE0"/>
    <w:rsid w:val="00BF07D4"/>
    <w:rsid w:val="00C349FF"/>
    <w:rsid w:val="00C67DA8"/>
    <w:rsid w:val="00CB411F"/>
    <w:rsid w:val="00CC488D"/>
    <w:rsid w:val="00CE486F"/>
    <w:rsid w:val="00CF3F44"/>
    <w:rsid w:val="00D14445"/>
    <w:rsid w:val="00D453D0"/>
    <w:rsid w:val="00D46F59"/>
    <w:rsid w:val="00D478D5"/>
    <w:rsid w:val="00D73EA4"/>
    <w:rsid w:val="00D8627D"/>
    <w:rsid w:val="00D915C9"/>
    <w:rsid w:val="00DC5F47"/>
    <w:rsid w:val="00DC68FF"/>
    <w:rsid w:val="00DD5B98"/>
    <w:rsid w:val="00DE30C6"/>
    <w:rsid w:val="00E45070"/>
    <w:rsid w:val="00E62099"/>
    <w:rsid w:val="00E83000"/>
    <w:rsid w:val="00E974E0"/>
    <w:rsid w:val="00EA2557"/>
    <w:rsid w:val="00EA30DF"/>
    <w:rsid w:val="00EB6A7A"/>
    <w:rsid w:val="00EE0BD6"/>
    <w:rsid w:val="00EE68C1"/>
    <w:rsid w:val="00F013DF"/>
    <w:rsid w:val="00F07D5A"/>
    <w:rsid w:val="00F86C7F"/>
    <w:rsid w:val="00FA0157"/>
    <w:rsid w:val="00FC088A"/>
    <w:rsid w:val="00FC32F5"/>
    <w:rsid w:val="00FF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E406"/>
  <w15:docId w15:val="{85FBD115-AA20-4633-93D9-0D0161B7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2F"/>
    <w:pPr>
      <w:ind w:left="720"/>
      <w:contextualSpacing/>
    </w:pPr>
  </w:style>
  <w:style w:type="table" w:styleId="TableGrid">
    <w:name w:val="Table Grid"/>
    <w:basedOn w:val="TableNormal"/>
    <w:uiPriority w:val="59"/>
    <w:rsid w:val="003B3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C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60"/>
    <w:rPr>
      <w:rFonts w:ascii="Tahoma" w:hAnsi="Tahoma" w:cs="Tahoma"/>
      <w:sz w:val="16"/>
      <w:szCs w:val="16"/>
    </w:rPr>
  </w:style>
  <w:style w:type="character" w:styleId="CommentReference">
    <w:name w:val="annotation reference"/>
    <w:basedOn w:val="DefaultParagraphFont"/>
    <w:uiPriority w:val="99"/>
    <w:semiHidden/>
    <w:unhideWhenUsed/>
    <w:rsid w:val="004C2C60"/>
    <w:rPr>
      <w:sz w:val="16"/>
      <w:szCs w:val="16"/>
    </w:rPr>
  </w:style>
  <w:style w:type="paragraph" w:styleId="CommentText">
    <w:name w:val="annotation text"/>
    <w:basedOn w:val="Normal"/>
    <w:link w:val="CommentTextChar"/>
    <w:uiPriority w:val="99"/>
    <w:semiHidden/>
    <w:unhideWhenUsed/>
    <w:rsid w:val="004C2C60"/>
    <w:pPr>
      <w:spacing w:line="240" w:lineRule="auto"/>
    </w:pPr>
    <w:rPr>
      <w:sz w:val="20"/>
      <w:szCs w:val="20"/>
    </w:rPr>
  </w:style>
  <w:style w:type="character" w:customStyle="1" w:styleId="CommentTextChar">
    <w:name w:val="Comment Text Char"/>
    <w:basedOn w:val="DefaultParagraphFont"/>
    <w:link w:val="CommentText"/>
    <w:uiPriority w:val="99"/>
    <w:semiHidden/>
    <w:rsid w:val="004C2C60"/>
    <w:rPr>
      <w:sz w:val="20"/>
      <w:szCs w:val="20"/>
    </w:rPr>
  </w:style>
  <w:style w:type="paragraph" w:styleId="CommentSubject">
    <w:name w:val="annotation subject"/>
    <w:basedOn w:val="CommentText"/>
    <w:next w:val="CommentText"/>
    <w:link w:val="CommentSubjectChar"/>
    <w:uiPriority w:val="99"/>
    <w:semiHidden/>
    <w:unhideWhenUsed/>
    <w:rsid w:val="004C2C60"/>
    <w:rPr>
      <w:b/>
      <w:bCs/>
    </w:rPr>
  </w:style>
  <w:style w:type="character" w:customStyle="1" w:styleId="CommentSubjectChar">
    <w:name w:val="Comment Subject Char"/>
    <w:basedOn w:val="CommentTextChar"/>
    <w:link w:val="CommentSubject"/>
    <w:uiPriority w:val="99"/>
    <w:semiHidden/>
    <w:rsid w:val="004C2C60"/>
    <w:rPr>
      <w:b/>
      <w:bCs/>
      <w:sz w:val="20"/>
      <w:szCs w:val="20"/>
    </w:rPr>
  </w:style>
  <w:style w:type="table" w:customStyle="1" w:styleId="TableGrid0">
    <w:name w:val="TableGrid"/>
    <w:rsid w:val="00D8627D"/>
    <w:pPr>
      <w:spacing w:after="0" w:line="240" w:lineRule="auto"/>
    </w:pPr>
    <w:tblPr>
      <w:tblCellMar>
        <w:top w:w="0" w:type="dxa"/>
        <w:left w:w="0" w:type="dxa"/>
        <w:bottom w:w="0" w:type="dxa"/>
        <w:right w:w="0" w:type="dxa"/>
      </w:tblCellMar>
    </w:tblPr>
  </w:style>
  <w:style w:type="paragraph" w:customStyle="1" w:styleId="Default">
    <w:name w:val="Default"/>
    <w:rsid w:val="00D8627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IntenseEmphasis">
    <w:name w:val="Intense Emphasis"/>
    <w:uiPriority w:val="21"/>
    <w:qFormat/>
    <w:rsid w:val="00EB6A7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0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1FC13EDBA3B40B9177337C5D87AFA" ma:contentTypeVersion="1" ma:contentTypeDescription="Create a new document." ma:contentTypeScope="" ma:versionID="ba05a212d06daa39ed5c460c99cd7ba7">
  <xsd:schema xmlns:xsd="http://www.w3.org/2001/XMLSchema" xmlns:xs="http://www.w3.org/2001/XMLSchema" xmlns:p="http://schemas.microsoft.com/office/2006/metadata/properties" targetNamespace="http://schemas.microsoft.com/office/2006/metadata/properties" ma:root="true" ma:fieldsID="3c4ffefd4446e2c54871cd0b252282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7934-CA36-497D-BC9D-B3040CE00F8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B0111C-D7DC-4B82-AC52-F27BCD209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DD6C1A-5728-4FEA-B534-3989388DD2F2}">
  <ds:schemaRefs>
    <ds:schemaRef ds:uri="http://schemas.microsoft.com/sharepoint/v3/contenttype/forms"/>
  </ds:schemaRefs>
</ds:datastoreItem>
</file>

<file path=customXml/itemProps4.xml><?xml version="1.0" encoding="utf-8"?>
<ds:datastoreItem xmlns:ds="http://schemas.openxmlformats.org/officeDocument/2006/customXml" ds:itemID="{1A7F98A5-98B5-4B7D-81A4-95266816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Kennington Junior School</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SIve</dc:creator>
  <cp:lastModifiedBy>Elizabeth Hammond</cp:lastModifiedBy>
  <cp:revision>2</cp:revision>
  <cp:lastPrinted>2016-09-15T06:45:00Z</cp:lastPrinted>
  <dcterms:created xsi:type="dcterms:W3CDTF">2020-09-29T15:51:00Z</dcterms:created>
  <dcterms:modified xsi:type="dcterms:W3CDTF">2020-09-29T15:51:00Z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0x010100A9A1FC13EDBA3B40B9177337C5D87AFA</vt:lpwstr>
  </property>
</Properties>
</file>